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B4" w:rsidRPr="007151FF" w:rsidRDefault="00851ADB" w:rsidP="007151FF">
      <w:pPr>
        <w:widowControl w:val="0"/>
        <w:overflowPunct w:val="0"/>
        <w:rPr>
          <w:b/>
          <w:i/>
          <w:u w:val="single"/>
        </w:rPr>
      </w:pPr>
      <w:r>
        <w:rPr>
          <w:b/>
          <w:i/>
          <w:u w:val="single"/>
        </w:rPr>
        <w:t xml:space="preserve">Fiscale aspecten van </w:t>
      </w:r>
      <w:r w:rsidR="00C90176">
        <w:rPr>
          <w:b/>
          <w:i/>
          <w:u w:val="single"/>
        </w:rPr>
        <w:t>Stichtingen en V</w:t>
      </w:r>
      <w:r w:rsidR="00B739B4" w:rsidRPr="007151FF">
        <w:rPr>
          <w:b/>
          <w:i/>
          <w:u w:val="single"/>
        </w:rPr>
        <w:t>ere</w:t>
      </w:r>
      <w:r>
        <w:rPr>
          <w:b/>
          <w:i/>
          <w:u w:val="single"/>
        </w:rPr>
        <w:t>nigingen</w:t>
      </w:r>
    </w:p>
    <w:p w:rsidR="00B739B4" w:rsidRPr="007151FF" w:rsidRDefault="00B739B4" w:rsidP="007151FF">
      <w:pPr>
        <w:widowControl w:val="0"/>
        <w:overflowPunct w:val="0"/>
      </w:pPr>
    </w:p>
    <w:p w:rsidR="007151FF" w:rsidRDefault="00B739B4" w:rsidP="007151FF">
      <w:pPr>
        <w:widowControl w:val="0"/>
        <w:overflowPunct w:val="0"/>
      </w:pPr>
      <w:r w:rsidRPr="007151FF">
        <w:t>Stichtingen en verenigingen zijn heden ten dage niet meer weg te denken in het maatschappelijke leven. Evenwel, deze rechtspersonen geraken ook steeds vaker in het vizier van de fiscus. Belasting</w:t>
      </w:r>
      <w:r w:rsidR="00C90176">
        <w:t>en</w:t>
      </w:r>
      <w:r w:rsidRPr="007151FF">
        <w:t xml:space="preserve"> is niet het eerste waar een bestuur van een stichting (vereniging) aan denkt, maar onder omstandigheden kunnen een stichting/vereniging belastingplichtig dan wel inhoudingsplichtig zijn voor vennootschapsbelasting, loonbelasting en omzetbelasting. </w:t>
      </w:r>
    </w:p>
    <w:p w:rsidR="00C90176" w:rsidRPr="007151FF" w:rsidRDefault="00C90176" w:rsidP="007151FF">
      <w:pPr>
        <w:widowControl w:val="0"/>
        <w:overflowPunct w:val="0"/>
      </w:pPr>
    </w:p>
    <w:p w:rsidR="00B739B4" w:rsidRPr="007151FF" w:rsidRDefault="00B739B4" w:rsidP="007151FF">
      <w:pPr>
        <w:widowControl w:val="0"/>
        <w:overflowPunct w:val="0"/>
        <w:rPr>
          <w:i/>
          <w:u w:val="single"/>
        </w:rPr>
      </w:pPr>
      <w:r w:rsidRPr="007151FF">
        <w:rPr>
          <w:i/>
          <w:u w:val="single"/>
        </w:rPr>
        <w:t>Vennootschapsbelasting</w:t>
      </w:r>
    </w:p>
    <w:p w:rsidR="007151FF" w:rsidRDefault="00B739B4" w:rsidP="007151FF">
      <w:pPr>
        <w:widowControl w:val="0"/>
        <w:overflowPunct w:val="0"/>
      </w:pPr>
      <w:r w:rsidRPr="007151FF">
        <w:t xml:space="preserve">De hoofdregel is dat stichtingen en verenigingen niet belastingplichtig zijn voor de vennootschapsbelasting (hierna: </w:t>
      </w:r>
      <w:proofErr w:type="spellStart"/>
      <w:r w:rsidRPr="007151FF">
        <w:t>V</w:t>
      </w:r>
      <w:bookmarkStart w:id="0" w:name="_GoBack"/>
      <w:bookmarkEnd w:id="0"/>
      <w:r w:rsidRPr="007151FF">
        <w:t>pb</w:t>
      </w:r>
      <w:proofErr w:type="spellEnd"/>
      <w:r w:rsidRPr="007151FF">
        <w:t xml:space="preserve">). Zij zijn alleen belasting verschuldigd indien zij een onderneming drijven. Dit is het geval indien er sprake is van a) een organisatie van kapitaal en arbeid, b) waarbij er wordt deelgenomen in het economisch verkeer en c) er een oogmerk is om winst te behalen. </w:t>
      </w:r>
    </w:p>
    <w:p w:rsidR="00C90176" w:rsidRDefault="00C90176" w:rsidP="007151FF">
      <w:pPr>
        <w:widowControl w:val="0"/>
        <w:overflowPunct w:val="0"/>
      </w:pPr>
    </w:p>
    <w:p w:rsidR="00B739B4" w:rsidRPr="007151FF" w:rsidRDefault="00B739B4" w:rsidP="007151FF">
      <w:pPr>
        <w:widowControl w:val="0"/>
        <w:overflowPunct w:val="0"/>
      </w:pPr>
      <w:r w:rsidRPr="007151FF">
        <w:t xml:space="preserve">Er is </w:t>
      </w:r>
      <w:r w:rsidRPr="007151FF">
        <w:rPr>
          <w:u w:val="words"/>
        </w:rPr>
        <w:t>geen</w:t>
      </w:r>
      <w:r w:rsidRPr="007151FF">
        <w:t xml:space="preserve"> sprake van </w:t>
      </w:r>
      <w:r w:rsidRPr="007151FF">
        <w:rPr>
          <w:i/>
        </w:rPr>
        <w:t>deelname aan het economisch verkeer</w:t>
      </w:r>
      <w:r w:rsidRPr="007151FF">
        <w:t xml:space="preserve"> indien:</w:t>
      </w:r>
    </w:p>
    <w:p w:rsidR="009908CB" w:rsidRDefault="00B739B4" w:rsidP="007151FF">
      <w:pPr>
        <w:widowControl w:val="0"/>
        <w:tabs>
          <w:tab w:val="left" w:pos="425"/>
        </w:tabs>
        <w:ind w:left="425" w:hanging="425"/>
      </w:pPr>
      <w:r w:rsidRPr="007151FF">
        <w:t xml:space="preserve">1) </w:t>
      </w:r>
      <w:r w:rsidR="009908CB">
        <w:t xml:space="preserve"> </w:t>
      </w:r>
      <w:r w:rsidRPr="007151FF">
        <w:t>de diensten worden verricht aan een besloten groep die niet of nauwelijks kan</w:t>
      </w:r>
    </w:p>
    <w:p w:rsidR="009908CB" w:rsidRDefault="00B739B4" w:rsidP="007151FF">
      <w:pPr>
        <w:widowControl w:val="0"/>
        <w:tabs>
          <w:tab w:val="left" w:pos="425"/>
        </w:tabs>
        <w:ind w:left="425" w:hanging="425"/>
      </w:pPr>
      <w:r w:rsidRPr="007151FF">
        <w:t xml:space="preserve"> wijzigen</w:t>
      </w:r>
      <w:r w:rsidR="009908CB">
        <w:t xml:space="preserve"> en </w:t>
      </w:r>
      <w:r w:rsidRPr="007151FF">
        <w:t>2)</w:t>
      </w:r>
      <w:r w:rsidR="009908CB">
        <w:t xml:space="preserve"> </w:t>
      </w:r>
      <w:r w:rsidRPr="007151FF">
        <w:t>de verleende diensten zich uitsluitend richten op de algemene</w:t>
      </w:r>
    </w:p>
    <w:p w:rsidR="00B739B4" w:rsidRPr="007151FF" w:rsidRDefault="00B739B4" w:rsidP="007151FF">
      <w:pPr>
        <w:widowControl w:val="0"/>
        <w:tabs>
          <w:tab w:val="left" w:pos="425"/>
        </w:tabs>
        <w:ind w:left="425" w:hanging="425"/>
      </w:pPr>
      <w:r w:rsidRPr="007151FF">
        <w:t xml:space="preserve"> belangenbehartiging van de leden.</w:t>
      </w:r>
    </w:p>
    <w:p w:rsidR="00B739B4" w:rsidRPr="007151FF" w:rsidRDefault="00B739B4" w:rsidP="007151FF">
      <w:pPr>
        <w:widowControl w:val="0"/>
        <w:overflowPunct w:val="0"/>
      </w:pPr>
      <w:r w:rsidRPr="007151FF">
        <w:t xml:space="preserve">Er is </w:t>
      </w:r>
      <w:r w:rsidRPr="007151FF">
        <w:rPr>
          <w:u w:val="words"/>
        </w:rPr>
        <w:t xml:space="preserve">wel </w:t>
      </w:r>
      <w:r w:rsidRPr="007151FF">
        <w:t xml:space="preserve">sprake van </w:t>
      </w:r>
      <w:r w:rsidRPr="007151FF">
        <w:rPr>
          <w:i/>
        </w:rPr>
        <w:t>deelname aan het economisch verkeer</w:t>
      </w:r>
      <w:r w:rsidRPr="007151FF">
        <w:t xml:space="preserve"> indien:</w:t>
      </w:r>
    </w:p>
    <w:p w:rsidR="009908CB" w:rsidRDefault="00B739B4" w:rsidP="007151FF">
      <w:pPr>
        <w:widowControl w:val="0"/>
        <w:tabs>
          <w:tab w:val="left" w:pos="425"/>
        </w:tabs>
        <w:ind w:left="425" w:hanging="425"/>
      </w:pPr>
      <w:r w:rsidRPr="007151FF">
        <w:t xml:space="preserve">1) </w:t>
      </w:r>
      <w:r w:rsidR="007151FF">
        <w:tab/>
      </w:r>
      <w:r w:rsidRPr="007151FF">
        <w:t>men eenvoudig kan toetreden tot een besloten groep teneinde tegen betaling</w:t>
      </w:r>
    </w:p>
    <w:p w:rsidR="009908CB" w:rsidRDefault="00B739B4" w:rsidP="007151FF">
      <w:pPr>
        <w:widowControl w:val="0"/>
        <w:tabs>
          <w:tab w:val="left" w:pos="425"/>
        </w:tabs>
        <w:ind w:left="425" w:hanging="425"/>
      </w:pPr>
      <w:r w:rsidRPr="007151FF">
        <w:t>diensten te kunnen ontvangen</w:t>
      </w:r>
      <w:r w:rsidR="009908CB">
        <w:t xml:space="preserve">; en </w:t>
      </w:r>
      <w:r w:rsidRPr="007151FF">
        <w:t>2) het tegen betaling verrichten van individuele</w:t>
      </w:r>
    </w:p>
    <w:p w:rsidR="00B739B4" w:rsidRPr="007151FF" w:rsidRDefault="00B739B4" w:rsidP="007151FF">
      <w:pPr>
        <w:widowControl w:val="0"/>
        <w:tabs>
          <w:tab w:val="left" w:pos="425"/>
        </w:tabs>
        <w:ind w:left="425" w:hanging="425"/>
      </w:pPr>
      <w:r w:rsidRPr="007151FF">
        <w:t>diensten aan leden.</w:t>
      </w:r>
    </w:p>
    <w:p w:rsidR="007151FF" w:rsidRDefault="007151FF" w:rsidP="007151FF">
      <w:pPr>
        <w:widowControl w:val="0"/>
        <w:overflowPunct w:val="0"/>
      </w:pPr>
    </w:p>
    <w:p w:rsidR="00B739B4" w:rsidRPr="007151FF" w:rsidRDefault="00B739B4" w:rsidP="007151FF">
      <w:pPr>
        <w:widowControl w:val="0"/>
        <w:overflowPunct w:val="0"/>
      </w:pPr>
      <w:r w:rsidRPr="007151FF">
        <w:t xml:space="preserve">De meeste jurisprudentie is evenwel ontstaan omtrent de aan- dan wel afwezigheid van een winstoogmerk en de vraag of deze winst ook redelijkerwijs kan worden verwacht. Aandachtspunten zijn dan </w:t>
      </w:r>
      <w:r w:rsidR="000F3D8E" w:rsidRPr="007151FF">
        <w:t>bijv.</w:t>
      </w:r>
      <w:r w:rsidRPr="007151FF">
        <w:t xml:space="preserve">: positieve resultaten, de groei van het eigen vermogen, aanwezigheid van overschotten, niet-incidentele </w:t>
      </w:r>
      <w:r w:rsidR="000F3D8E" w:rsidRPr="007151FF">
        <w:t>opbrengst generende</w:t>
      </w:r>
      <w:r w:rsidRPr="007151FF">
        <w:t xml:space="preserve"> activiteiten, beperkte omvang van verlies t.o.v. latere winsten. Indien er stelselmatig sprake is van overschotten en er een streven bestaat naar voordeel, is er sprake van winststreve</w:t>
      </w:r>
      <w:r w:rsidR="00C90176">
        <w:t>n</w:t>
      </w:r>
      <w:r w:rsidRPr="007151FF">
        <w:t>. Ondanks dat er in de statuten veelal wordt gesproken dat er geen winststreven bestaat, is dit voor de fiscale kwalificatie niet relevant.</w:t>
      </w:r>
    </w:p>
    <w:p w:rsidR="0030192F" w:rsidRDefault="00B739B4" w:rsidP="007151FF">
      <w:pPr>
        <w:widowControl w:val="0"/>
        <w:overflowPunct w:val="0"/>
      </w:pPr>
      <w:r w:rsidRPr="007151FF">
        <w:t>Verder is er vanuit de jurisprudentie bepaalt dat, ondanks afwezigheid van andere genoemde criteria, er toch een belastingplicht ontstaat indien er activiteiten worden ontplooid waarmee in concurrentie wordt getreden met wel belastingplichtige (rechts)personen.</w:t>
      </w:r>
      <w:r w:rsidR="0030192F">
        <w:t xml:space="preserve"> </w:t>
      </w:r>
      <w:r w:rsidRPr="007151FF">
        <w:t>Indien er binnen een stichting/vereniging meerdere activiteiten worden verricht, dienen voor al die specifieke activiteiten getoetst te worden of er sprake is van ondernemerschap en concurrentie.</w:t>
      </w:r>
    </w:p>
    <w:p w:rsidR="00C90176" w:rsidRDefault="00B739B4" w:rsidP="007151FF">
      <w:pPr>
        <w:widowControl w:val="0"/>
        <w:overflowPunct w:val="0"/>
      </w:pPr>
      <w:r w:rsidRPr="007151FF">
        <w:t xml:space="preserve"> </w:t>
      </w:r>
    </w:p>
    <w:p w:rsidR="00B739B4" w:rsidRDefault="00B739B4" w:rsidP="007151FF">
      <w:pPr>
        <w:widowControl w:val="0"/>
        <w:overflowPunct w:val="0"/>
      </w:pPr>
      <w:r w:rsidRPr="007151FF">
        <w:t xml:space="preserve">Winsten kunnen onder omstandigheden buiten de heffing blijven. Het Vrijstellings Besluit Vennootschapsbelasting kent een grens van € 7.500,00 voor </w:t>
      </w:r>
      <w:r w:rsidRPr="007151FF">
        <w:lastRenderedPageBreak/>
        <w:t>bijkomstige winsten die zo buiten de heffing blijven. Voorwaarde voor de vrijstelling is wel dat de behartiging van een maatschappelijk belang voorop staat en dat de winst daaraan wordt besteed.</w:t>
      </w:r>
    </w:p>
    <w:p w:rsidR="007151FF" w:rsidRPr="007151FF" w:rsidRDefault="007151FF" w:rsidP="007151FF">
      <w:pPr>
        <w:widowControl w:val="0"/>
        <w:overflowPunct w:val="0"/>
      </w:pPr>
    </w:p>
    <w:p w:rsidR="00B739B4" w:rsidRPr="007151FF" w:rsidRDefault="00B739B4" w:rsidP="007151FF">
      <w:pPr>
        <w:widowControl w:val="0"/>
        <w:overflowPunct w:val="0"/>
        <w:rPr>
          <w:i/>
          <w:u w:val="single"/>
        </w:rPr>
      </w:pPr>
      <w:r w:rsidRPr="007151FF">
        <w:rPr>
          <w:i/>
          <w:u w:val="single"/>
        </w:rPr>
        <w:t>Omzetbelasting (BTW)</w:t>
      </w:r>
    </w:p>
    <w:p w:rsidR="00C90176" w:rsidRDefault="00B739B4" w:rsidP="007151FF">
      <w:pPr>
        <w:widowControl w:val="0"/>
        <w:overflowPunct w:val="0"/>
      </w:pPr>
      <w:r w:rsidRPr="007151FF">
        <w:t xml:space="preserve">Of een </w:t>
      </w:r>
      <w:proofErr w:type="spellStart"/>
      <w:r w:rsidR="000F3D8E" w:rsidRPr="007151FF">
        <w:t>B</w:t>
      </w:r>
      <w:r w:rsidR="000F3D8E">
        <w:t>TW</w:t>
      </w:r>
      <w:r w:rsidR="000F3D8E" w:rsidRPr="007151FF">
        <w:t>-aangifte</w:t>
      </w:r>
      <w:proofErr w:type="spellEnd"/>
      <w:r w:rsidRPr="007151FF">
        <w:t xml:space="preserve"> ingediend behoort te worden is o.a. afhankelijk van de vraag of er een prestatie wordt verricht in het economisch </w:t>
      </w:r>
      <w:r w:rsidR="00C90176">
        <w:t xml:space="preserve">verkeer </w:t>
      </w:r>
      <w:r w:rsidRPr="007151FF">
        <w:t>en of daarvoor een vergoeding wordt ontvangen. Indien er evenwel sprake is van ondernemer</w:t>
      </w:r>
      <w:r w:rsidR="00C90176">
        <w:t>-</w:t>
      </w:r>
    </w:p>
    <w:p w:rsidR="00B739B4" w:rsidRDefault="00B739B4" w:rsidP="007151FF">
      <w:pPr>
        <w:widowControl w:val="0"/>
        <w:overflowPunct w:val="0"/>
      </w:pPr>
      <w:r w:rsidRPr="007151FF">
        <w:t xml:space="preserve">schap behoeft dat nog niet te leiden tot een situatie waarin BTW dient te worden afgedragen. In veel gevallen zijn de activiteiten namelijk vrijgesteld van BTW en kunnen </w:t>
      </w:r>
      <w:r w:rsidR="000F3D8E" w:rsidRPr="007151FF">
        <w:t>nevenactiviteiten</w:t>
      </w:r>
      <w:r w:rsidRPr="007151FF">
        <w:t xml:space="preserve"> (mits qua omvang binnen bepaalde omzetgrenzen) ook onder de vrijstelling terecht komen. Daarnaast kent de Wet een vrijstelling voor fondsenwerving indien het gaat om fondsenwervende activiteiten ten behoeve van de primaire activiteiten van de stichting/vereniging. Nadeel van het verrichten van vrijgestelde prestaties is evenwel dat ook geen BTW in aftrek kan worden gebracht</w:t>
      </w:r>
      <w:r w:rsidR="005767D5">
        <w:t>, hetgeen kostprijsverhogend kan werken</w:t>
      </w:r>
      <w:r w:rsidRPr="007151FF">
        <w:t>.</w:t>
      </w:r>
    </w:p>
    <w:p w:rsidR="007151FF" w:rsidRPr="007151FF" w:rsidRDefault="007151FF" w:rsidP="007151FF">
      <w:pPr>
        <w:widowControl w:val="0"/>
        <w:overflowPunct w:val="0"/>
      </w:pPr>
    </w:p>
    <w:p w:rsidR="00B739B4" w:rsidRPr="007151FF" w:rsidRDefault="00B739B4" w:rsidP="007151FF">
      <w:pPr>
        <w:widowControl w:val="0"/>
        <w:overflowPunct w:val="0"/>
        <w:rPr>
          <w:i/>
          <w:u w:val="single"/>
        </w:rPr>
      </w:pPr>
      <w:r w:rsidRPr="007151FF">
        <w:rPr>
          <w:i/>
          <w:u w:val="single"/>
        </w:rPr>
        <w:t>Loonbelasting</w:t>
      </w:r>
    </w:p>
    <w:p w:rsidR="00B739B4" w:rsidRPr="007151FF" w:rsidRDefault="00B739B4" w:rsidP="007151FF">
      <w:pPr>
        <w:widowControl w:val="0"/>
        <w:overflowPunct w:val="0"/>
      </w:pPr>
      <w:r w:rsidRPr="007151FF">
        <w:t>Een warme aandacht gen</w:t>
      </w:r>
      <w:r w:rsidR="0030192F">
        <w:t xml:space="preserve">iet het feit of een bestuurslid </w:t>
      </w:r>
      <w:r w:rsidRPr="007151FF">
        <w:t xml:space="preserve">in dienstbetrekking is bij de stichting/vereniging of niet. Een dienstbetrekking wordt </w:t>
      </w:r>
      <w:r w:rsidR="000F3D8E" w:rsidRPr="007151FF">
        <w:t>bijv.</w:t>
      </w:r>
      <w:r w:rsidRPr="007151FF">
        <w:t xml:space="preserve"> aanwezig geacht indien een bestuurder naast zijn </w:t>
      </w:r>
      <w:r w:rsidR="000F3D8E" w:rsidRPr="007151FF">
        <w:t>bestuursactiviteiten</w:t>
      </w:r>
      <w:r w:rsidRPr="007151FF">
        <w:t xml:space="preserve"> ook nog andere werkzaamheden uitvoert.</w:t>
      </w:r>
      <w:r w:rsidR="009908CB">
        <w:t xml:space="preserve"> </w:t>
      </w:r>
      <w:r w:rsidRPr="007151FF">
        <w:t xml:space="preserve">In het verlengde dient het bestuur aandacht te geven aan de positie van freelancers die men inhuurt. Indien een </w:t>
      </w:r>
      <w:r w:rsidR="000F3D8E" w:rsidRPr="007151FF">
        <w:t>freelancer</w:t>
      </w:r>
      <w:r w:rsidRPr="007151FF">
        <w:t xml:space="preserve"> geen VAR-verklaring (Verklaring Arbeids Relatie) kan overleggen, loopt men het risico dat de fiscus een dienstbetrekking constateert.</w:t>
      </w:r>
    </w:p>
    <w:p w:rsidR="00B739B4" w:rsidRDefault="009908CB" w:rsidP="007151FF">
      <w:pPr>
        <w:widowControl w:val="0"/>
        <w:overflowPunct w:val="0"/>
      </w:pPr>
      <w:r>
        <w:t>Verder</w:t>
      </w:r>
      <w:r w:rsidR="00B739B4" w:rsidRPr="007151FF">
        <w:t xml:space="preserve"> zal de fiscus ook altijd kritisch kijken naar vaste onkostenvergoedingen en het gebruik van de Vrijwilligersregeling. Deze laatste regeling kan alleen worden gebruikt door mensen die niet in de uitoefening van een beroep of bedrijf activiteiten ontplooien voor de stichting/vereniging. De regeling houdt dat indien de beloning minder is dan € 150 per maand én € 1.500 per jaar, men niet inhoudingsplichtig is. Bij hogere v</w:t>
      </w:r>
      <w:r w:rsidR="0030192F">
        <w:t xml:space="preserve">ergoeding gelden </w:t>
      </w:r>
      <w:r w:rsidR="00B739B4" w:rsidRPr="007151FF">
        <w:t>de normale inhoudingen.</w:t>
      </w:r>
    </w:p>
    <w:p w:rsidR="009908CB" w:rsidRDefault="009908CB" w:rsidP="007151FF">
      <w:pPr>
        <w:widowControl w:val="0"/>
        <w:overflowPunct w:val="0"/>
        <w:rPr>
          <w:i/>
          <w:u w:val="single"/>
        </w:rPr>
      </w:pPr>
    </w:p>
    <w:p w:rsidR="00B739B4" w:rsidRPr="007151FF" w:rsidRDefault="00B739B4" w:rsidP="007151FF">
      <w:pPr>
        <w:widowControl w:val="0"/>
        <w:overflowPunct w:val="0"/>
        <w:rPr>
          <w:i/>
          <w:u w:val="single"/>
        </w:rPr>
      </w:pPr>
      <w:r w:rsidRPr="007151FF">
        <w:rPr>
          <w:i/>
          <w:u w:val="single"/>
        </w:rPr>
        <w:t>Aansprakelijkheid</w:t>
      </w:r>
    </w:p>
    <w:p w:rsidR="00B739B4" w:rsidRPr="007151FF" w:rsidRDefault="00B739B4" w:rsidP="007151FF">
      <w:pPr>
        <w:widowControl w:val="0"/>
        <w:overflowPunct w:val="0"/>
      </w:pPr>
      <w:r w:rsidRPr="007151FF">
        <w:t>Inlenersaansprakelijkheid kan spelen indien met uitzendkrachten wordt gewerkt. De Inlener (stichting/vereniging) kan aansprakelijk gesteld worden voor door de Uitlener onbetaald gebleven loonheffingen en omzetbelasting. Om dit te beperken is het zinvol om met een G-rekening te werken waarbij de verschuldigde bedragen op deze rekening kunnen worden afgestort.</w:t>
      </w:r>
    </w:p>
    <w:p w:rsidR="00B739B4" w:rsidRDefault="00B739B4" w:rsidP="007151FF">
      <w:pPr>
        <w:widowControl w:val="0"/>
        <w:overflowPunct w:val="0"/>
      </w:pPr>
      <w:r w:rsidRPr="007151FF">
        <w:t>De bestuursaansprakelijkheid komt in beeld indien het bestuur van de stichting/vereniging verzuimt bijtijds melding te maken bij de Ontvanger van betalingsonmacht ter zake van verschuldigde loonheffingen, BTW, accijns etc.</w:t>
      </w:r>
    </w:p>
    <w:p w:rsidR="00851ADB" w:rsidRDefault="00851ADB" w:rsidP="007151FF">
      <w:pPr>
        <w:widowControl w:val="0"/>
        <w:overflowPunct w:val="0"/>
      </w:pPr>
    </w:p>
    <w:p w:rsidR="00851ADB" w:rsidRDefault="00851ADB" w:rsidP="007151FF">
      <w:pPr>
        <w:widowControl w:val="0"/>
        <w:overflowPunct w:val="0"/>
      </w:pPr>
    </w:p>
    <w:p w:rsidR="00851ADB" w:rsidRDefault="00851ADB" w:rsidP="007151FF">
      <w:pPr>
        <w:widowControl w:val="0"/>
        <w:overflowPunct w:val="0"/>
      </w:pPr>
      <w:r>
        <w:t xml:space="preserve">Mr </w:t>
      </w:r>
      <w:proofErr w:type="spellStart"/>
      <w:r>
        <w:t>Drs</w:t>
      </w:r>
      <w:proofErr w:type="spellEnd"/>
      <w:r>
        <w:t xml:space="preserve"> W.J.M. Strijk </w:t>
      </w:r>
      <w:proofErr w:type="spellStart"/>
      <w:r>
        <w:t>Fb</w:t>
      </w:r>
      <w:proofErr w:type="spellEnd"/>
    </w:p>
    <w:p w:rsidR="00851ADB" w:rsidRPr="007151FF" w:rsidRDefault="00851ADB" w:rsidP="007151FF">
      <w:pPr>
        <w:widowControl w:val="0"/>
        <w:overflowPunct w:val="0"/>
        <w:rPr>
          <w:i/>
          <w:u w:val="single"/>
        </w:rPr>
      </w:pPr>
      <w:proofErr w:type="spellStart"/>
      <w:r>
        <w:t>Kammeraad</w:t>
      </w:r>
      <w:proofErr w:type="spellEnd"/>
      <w:r>
        <w:t xml:space="preserve"> &amp; Strijk Notarissen</w:t>
      </w:r>
    </w:p>
    <w:sectPr w:rsidR="00851ADB" w:rsidRPr="007151FF" w:rsidSect="00404907">
      <w:headerReference w:type="even" r:id="rId8"/>
      <w:headerReference w:type="default" r:id="rId9"/>
      <w:headerReference w:type="first" r:id="rId10"/>
      <w:pgSz w:w="11906" w:h="16838" w:code="9"/>
      <w:pgMar w:top="2948" w:right="1985" w:bottom="1701" w:left="1985"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76" w:rsidRDefault="00C90176">
      <w:r>
        <w:separator/>
      </w:r>
    </w:p>
  </w:endnote>
  <w:endnote w:type="continuationSeparator" w:id="0">
    <w:p w:rsidR="00C90176" w:rsidRDefault="00C9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fa Rotis Sans Serif">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76" w:rsidRDefault="00C90176">
      <w:r>
        <w:separator/>
      </w:r>
    </w:p>
  </w:footnote>
  <w:footnote w:type="continuationSeparator" w:id="0">
    <w:p w:rsidR="00C90176" w:rsidRDefault="00C9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6" w:rsidRDefault="00C9017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90176" w:rsidRDefault="00C90176">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6" w:rsidRDefault="00C90176" w:rsidP="00753548">
    <w:pPr>
      <w:ind w:right="72"/>
    </w:pPr>
  </w:p>
  <w:p w:rsidR="00C90176" w:rsidRDefault="00C90176" w:rsidP="00753548">
    <w:pPr>
      <w:ind w:right="72"/>
    </w:pPr>
  </w:p>
  <w:p w:rsidR="00C90176" w:rsidRDefault="00C90176" w:rsidP="00753548">
    <w:pPr>
      <w:ind w:right="72"/>
    </w:pPr>
  </w:p>
  <w:p w:rsidR="00C90176" w:rsidRDefault="00C90176" w:rsidP="00753548">
    <w:pPr>
      <w:ind w:right="72"/>
    </w:pPr>
  </w:p>
  <w:p w:rsidR="00C90176" w:rsidRDefault="00C90176" w:rsidP="00753548">
    <w:pPr>
      <w:ind w:right="72"/>
    </w:pPr>
  </w:p>
  <w:p w:rsidR="00C90176" w:rsidRDefault="00C90176" w:rsidP="00753548">
    <w:pPr>
      <w:ind w:right="72"/>
    </w:pPr>
  </w:p>
  <w:p w:rsidR="00C90176" w:rsidRDefault="00C90176" w:rsidP="00753548">
    <w:pPr>
      <w:ind w:right="72"/>
    </w:pPr>
  </w:p>
  <w:p w:rsidR="00C90176" w:rsidRDefault="00C90176" w:rsidP="00753548">
    <w:pPr>
      <w:ind w:right="72"/>
    </w:pPr>
  </w:p>
  <w:p w:rsidR="00C90176" w:rsidRDefault="00C90176" w:rsidP="00753548">
    <w:pPr>
      <w:ind w:right="72"/>
    </w:pPr>
  </w:p>
  <w:p w:rsidR="00C90176" w:rsidRDefault="00C90176" w:rsidP="00BB15A3">
    <w:pPr>
      <w:ind w:right="72"/>
      <w:jc w:val="right"/>
      <w:rPr>
        <w:rStyle w:val="Paginanummer"/>
        <w:rFonts w:ascii="Times New Roman" w:hAnsi="Times New Roman"/>
      </w:rPr>
    </w:pPr>
    <w:r>
      <w:rPr>
        <w:rStyle w:val="Paginanummer"/>
        <w:rFonts w:ascii="Times New Roman" w:hAnsi="Times New Roman"/>
      </w:rPr>
      <w:tab/>
      <w:t xml:space="preserve">Blad </w:t>
    </w:r>
    <w:r w:rsidRPr="00B16965">
      <w:rPr>
        <w:rStyle w:val="Paginanummer"/>
        <w:rFonts w:ascii="Times New Roman" w:hAnsi="Times New Roman"/>
      </w:rPr>
      <w:fldChar w:fldCharType="begin"/>
    </w:r>
    <w:r w:rsidRPr="00B16965">
      <w:rPr>
        <w:rStyle w:val="Paginanummer"/>
        <w:rFonts w:ascii="Times New Roman" w:hAnsi="Times New Roman"/>
      </w:rPr>
      <w:instrText xml:space="preserve"> PAGE </w:instrText>
    </w:r>
    <w:r w:rsidRPr="00B16965">
      <w:rPr>
        <w:rStyle w:val="Paginanummer"/>
        <w:rFonts w:ascii="Times New Roman" w:hAnsi="Times New Roman"/>
      </w:rPr>
      <w:fldChar w:fldCharType="separate"/>
    </w:r>
    <w:r w:rsidR="000F3D8E">
      <w:rPr>
        <w:rStyle w:val="Paginanummer"/>
        <w:rFonts w:ascii="Times New Roman" w:hAnsi="Times New Roman"/>
        <w:noProof/>
      </w:rPr>
      <w:t>2</w:t>
    </w:r>
    <w:r w:rsidRPr="00B16965">
      <w:rPr>
        <w:rStyle w:val="Paginanummer"/>
        <w:rFonts w:ascii="Times New Roman" w:hAnsi="Times New Roman"/>
      </w:rPr>
      <w:fldChar w:fldCharType="end"/>
    </w:r>
  </w:p>
  <w:p w:rsidR="00C90176" w:rsidRPr="00B16965" w:rsidRDefault="00C90176" w:rsidP="00B16965">
    <w:pPr>
      <w:tabs>
        <w:tab w:val="right" w:pos="8634"/>
      </w:tabs>
      <w:ind w:right="72"/>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6" w:rsidRPr="00410BD3" w:rsidRDefault="00C90176" w:rsidP="00404907">
    <w:pPr>
      <w:pStyle w:val="Koptekst"/>
      <w:tabs>
        <w:tab w:val="clear" w:pos="9072"/>
        <w:tab w:val="right" w:pos="8460"/>
      </w:tabs>
      <w:ind w:left="-1260"/>
      <w:rPr>
        <w:sz w:val="20"/>
        <w:szCs w:val="20"/>
      </w:rPr>
    </w:pPr>
    <w:r w:rsidRPr="00410BD3">
      <w:rPr>
        <w:sz w:val="20"/>
        <w:szCs w:val="20"/>
      </w:rPr>
      <w:t>Ref:</w:t>
    </w:r>
    <w:bookmarkStart w:id="1" w:name="dossiernummer"/>
    <w:bookmarkEnd w:id="1"/>
    <w:r>
      <w:rPr>
        <w:sz w:val="20"/>
        <w:szCs w:val="20"/>
      </w:rPr>
      <w:t>/</w:t>
    </w:r>
    <w:bookmarkStart w:id="2" w:name="behandelaar"/>
    <w:bookmarkEnd w:id="2"/>
    <w:r>
      <w:rPr>
        <w:sz w:val="20"/>
        <w:szCs w:val="20"/>
      </w:rPr>
      <w:t>/</w:t>
    </w:r>
    <w:bookmarkStart w:id="3" w:name="secretaresse"/>
    <w:bookmarkEnd w:id="3"/>
  </w:p>
  <w:p w:rsidR="00C90176" w:rsidRDefault="00C90176">
    <w:pPr>
      <w:pStyle w:val="Koptekst"/>
    </w:pPr>
  </w:p>
  <w:p w:rsidR="00C90176" w:rsidRDefault="00C90176">
    <w:pPr>
      <w:pStyle w:val="Koptekst"/>
    </w:pPr>
  </w:p>
  <w:p w:rsidR="00C90176" w:rsidRDefault="00C90176">
    <w:pPr>
      <w:pStyle w:val="Koptekst"/>
    </w:pPr>
  </w:p>
  <w:p w:rsidR="00C90176" w:rsidRDefault="00C90176" w:rsidP="00F34532">
    <w:pPr>
      <w:pStyle w:val="Koptekst"/>
      <w:jc w:val="center"/>
      <w:rPr>
        <w:b/>
        <w:caps/>
        <w:szCs w:val="22"/>
        <w:u w:val="single"/>
      </w:rPr>
    </w:pPr>
    <w:bookmarkStart w:id="4" w:name="Titel"/>
    <w:bookmarkEnd w:id="4"/>
  </w:p>
  <w:p w:rsidR="00C90176" w:rsidRDefault="00C90176" w:rsidP="00F34532">
    <w:pPr>
      <w:pStyle w:val="Koptekst"/>
      <w:jc w:val="center"/>
      <w:rPr>
        <w:b/>
        <w:caps/>
        <w:szCs w:val="22"/>
        <w:u w:val="single"/>
      </w:rPr>
    </w:pPr>
  </w:p>
  <w:p w:rsidR="00C90176" w:rsidRDefault="00C90176" w:rsidP="00F34532">
    <w:pPr>
      <w:pStyle w:val="Koptekst"/>
      <w:jc w:val="center"/>
      <w:rPr>
        <w:b/>
        <w:caps/>
        <w:szCs w:val="22"/>
        <w:u w:val="single"/>
      </w:rPr>
    </w:pPr>
  </w:p>
  <w:p w:rsidR="00C90176" w:rsidRDefault="000F3D8E" w:rsidP="00F34532">
    <w:pPr>
      <w:pStyle w:val="Koptekst"/>
      <w:jc w:val="center"/>
      <w:rPr>
        <w:b/>
        <w:caps/>
        <w:szCs w:val="22"/>
        <w:u w:val="single"/>
      </w:rPr>
    </w:pPr>
    <w:r>
      <w:rPr>
        <w:caps/>
        <w:noProof/>
        <w:szCs w:val="22"/>
      </w:rPr>
      <w:pict>
        <v:shapetype id="_x0000_t202" coordsize="21600,21600" o:spt="202" path="m,l,21600r21600,l21600,xe">
          <v:stroke joinstyle="miter"/>
          <v:path gradientshapeok="t" o:connecttype="rect"/>
        </v:shapetype>
        <v:shape id="_x0000_s2051" type="#_x0000_t202" style="position:absolute;left:0;text-align:left;margin-left:378pt;margin-top:8.25pt;width:54pt;height:21.45pt;z-index:251657728" filled="f" stroked="f">
          <v:textbox>
            <w:txbxContent>
              <w:p w:rsidR="00C90176" w:rsidRPr="00404907" w:rsidRDefault="00C90176">
                <w:r w:rsidRPr="00404907">
                  <w:rPr>
                    <w:rStyle w:val="Paginanummer"/>
                    <w:rFonts w:ascii="Times New Roman" w:hAnsi="Times New Roman"/>
                  </w:rPr>
                  <w:t xml:space="preserve">Blad </w:t>
                </w:r>
                <w:r w:rsidRPr="00404907">
                  <w:rPr>
                    <w:rStyle w:val="Paginanummer"/>
                    <w:rFonts w:ascii="Times New Roman" w:hAnsi="Times New Roman"/>
                  </w:rPr>
                  <w:fldChar w:fldCharType="begin"/>
                </w:r>
                <w:r w:rsidRPr="00404907">
                  <w:rPr>
                    <w:rStyle w:val="Paginanummer"/>
                    <w:rFonts w:ascii="Times New Roman" w:hAnsi="Times New Roman"/>
                  </w:rPr>
                  <w:instrText xml:space="preserve"> PAGE </w:instrText>
                </w:r>
                <w:r w:rsidRPr="00404907">
                  <w:rPr>
                    <w:rStyle w:val="Paginanummer"/>
                    <w:rFonts w:ascii="Times New Roman" w:hAnsi="Times New Roman"/>
                  </w:rPr>
                  <w:fldChar w:fldCharType="separate"/>
                </w:r>
                <w:r w:rsidR="000F3D8E">
                  <w:rPr>
                    <w:rStyle w:val="Paginanummer"/>
                    <w:rFonts w:ascii="Times New Roman" w:hAnsi="Times New Roman"/>
                    <w:noProof/>
                  </w:rPr>
                  <w:t>1</w:t>
                </w:r>
                <w:r w:rsidRPr="00404907">
                  <w:rPr>
                    <w:rStyle w:val="Paginanummer"/>
                    <w:rFonts w:ascii="Times New Roman" w:hAnsi="Times New Roman"/>
                  </w:rPr>
                  <w:fldChar w:fldCharType="end"/>
                </w:r>
              </w:p>
            </w:txbxContent>
          </v:textbox>
        </v:shape>
      </w:pict>
    </w:r>
  </w:p>
  <w:p w:rsidR="00C90176" w:rsidRPr="00CE6765" w:rsidRDefault="00C90176" w:rsidP="00CE6765">
    <w:pPr>
      <w:pStyle w:val="Koptekst"/>
      <w:jc w:val="right"/>
      <w:rPr>
        <w:caps/>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51FF"/>
    <w:rsid w:val="000311EA"/>
    <w:rsid w:val="00047D7A"/>
    <w:rsid w:val="00060290"/>
    <w:rsid w:val="000A2621"/>
    <w:rsid w:val="000D0F1D"/>
    <w:rsid w:val="000D6591"/>
    <w:rsid w:val="000F3D8E"/>
    <w:rsid w:val="00106838"/>
    <w:rsid w:val="00123979"/>
    <w:rsid w:val="00157071"/>
    <w:rsid w:val="00160859"/>
    <w:rsid w:val="00171FE8"/>
    <w:rsid w:val="001739F9"/>
    <w:rsid w:val="00194271"/>
    <w:rsid w:val="001D07FE"/>
    <w:rsid w:val="001E4FBF"/>
    <w:rsid w:val="0030192F"/>
    <w:rsid w:val="00383879"/>
    <w:rsid w:val="00404907"/>
    <w:rsid w:val="0040786C"/>
    <w:rsid w:val="00410BD3"/>
    <w:rsid w:val="004B7C12"/>
    <w:rsid w:val="005767D5"/>
    <w:rsid w:val="005F4AAC"/>
    <w:rsid w:val="00634F1F"/>
    <w:rsid w:val="00670861"/>
    <w:rsid w:val="00676E7C"/>
    <w:rsid w:val="006A790A"/>
    <w:rsid w:val="006E0692"/>
    <w:rsid w:val="007117C8"/>
    <w:rsid w:val="007151FF"/>
    <w:rsid w:val="00753548"/>
    <w:rsid w:val="00794E9A"/>
    <w:rsid w:val="007D492D"/>
    <w:rsid w:val="007E1FCC"/>
    <w:rsid w:val="008443AF"/>
    <w:rsid w:val="00851ADB"/>
    <w:rsid w:val="00877A9E"/>
    <w:rsid w:val="009150B3"/>
    <w:rsid w:val="00981314"/>
    <w:rsid w:val="009908CB"/>
    <w:rsid w:val="00A116DC"/>
    <w:rsid w:val="00A52ED3"/>
    <w:rsid w:val="00AD4A4A"/>
    <w:rsid w:val="00AE2DDA"/>
    <w:rsid w:val="00B1045D"/>
    <w:rsid w:val="00B16965"/>
    <w:rsid w:val="00B41A54"/>
    <w:rsid w:val="00B739B4"/>
    <w:rsid w:val="00B73ED4"/>
    <w:rsid w:val="00BA6DFE"/>
    <w:rsid w:val="00BB15A3"/>
    <w:rsid w:val="00BE5437"/>
    <w:rsid w:val="00C90176"/>
    <w:rsid w:val="00CA2429"/>
    <w:rsid w:val="00CA3620"/>
    <w:rsid w:val="00CB6CF0"/>
    <w:rsid w:val="00CE53F3"/>
    <w:rsid w:val="00CE6765"/>
    <w:rsid w:val="00CF1714"/>
    <w:rsid w:val="00D20FCF"/>
    <w:rsid w:val="00D22A8A"/>
    <w:rsid w:val="00DB13FC"/>
    <w:rsid w:val="00DE1781"/>
    <w:rsid w:val="00DE63DE"/>
    <w:rsid w:val="00DF1FB7"/>
    <w:rsid w:val="00E15E52"/>
    <w:rsid w:val="00E35ED4"/>
    <w:rsid w:val="00E53520"/>
    <w:rsid w:val="00E72EEA"/>
    <w:rsid w:val="00EC619E"/>
    <w:rsid w:val="00ED0DF2"/>
    <w:rsid w:val="00F34532"/>
    <w:rsid w:val="00F401BF"/>
    <w:rsid w:val="00F77CF5"/>
    <w:rsid w:val="00FD1D1C"/>
    <w:rsid w:val="00FD2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3879"/>
    <w:pPr>
      <w:spacing w:line="280" w:lineRule="exact"/>
    </w:pPr>
    <w:rPr>
      <w:sz w:val="24"/>
      <w:szCs w:val="24"/>
    </w:rPr>
  </w:style>
  <w:style w:type="paragraph" w:styleId="Kop1">
    <w:name w:val="heading 1"/>
    <w:basedOn w:val="Standaard"/>
    <w:next w:val="Standaard"/>
    <w:qFormat/>
    <w:rsid w:val="005F4AAC"/>
    <w:pPr>
      <w:keepNext/>
      <w:spacing w:before="240" w:after="60"/>
      <w:outlineLvl w:val="0"/>
    </w:pPr>
    <w:rPr>
      <w:rFonts w:cs="Arial"/>
      <w:b/>
      <w:bCs/>
      <w:kern w:val="32"/>
      <w:sz w:val="32"/>
      <w:szCs w:val="32"/>
    </w:rPr>
  </w:style>
  <w:style w:type="paragraph" w:styleId="Kop2">
    <w:name w:val="heading 2"/>
    <w:basedOn w:val="Standaard"/>
    <w:next w:val="Standaard"/>
    <w:qFormat/>
    <w:rsid w:val="005F4AAC"/>
    <w:pPr>
      <w:keepNext/>
      <w:spacing w:before="240" w:after="60"/>
      <w:outlineLvl w:val="1"/>
    </w:pPr>
    <w:rPr>
      <w:rFonts w:cs="Arial"/>
      <w:b/>
      <w:bCs/>
      <w:i/>
      <w:iCs/>
      <w:sz w:val="28"/>
      <w:szCs w:val="28"/>
    </w:rPr>
  </w:style>
  <w:style w:type="paragraph" w:styleId="Kop3">
    <w:name w:val="heading 3"/>
    <w:basedOn w:val="Standaard"/>
    <w:next w:val="Standaard"/>
    <w:qFormat/>
    <w:rsid w:val="005F4AA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73ED4"/>
    <w:pPr>
      <w:tabs>
        <w:tab w:val="center" w:pos="4536"/>
        <w:tab w:val="right" w:pos="9072"/>
      </w:tabs>
    </w:pPr>
  </w:style>
  <w:style w:type="paragraph" w:styleId="Voettekst">
    <w:name w:val="footer"/>
    <w:basedOn w:val="Standaard"/>
    <w:rsid w:val="00B73ED4"/>
    <w:pPr>
      <w:tabs>
        <w:tab w:val="center" w:pos="4536"/>
        <w:tab w:val="right" w:pos="9072"/>
      </w:tabs>
    </w:pPr>
  </w:style>
  <w:style w:type="character" w:styleId="Paginanummer">
    <w:name w:val="page number"/>
    <w:basedOn w:val="Standaardalinea-lettertype"/>
    <w:rsid w:val="005F4AAC"/>
    <w:rPr>
      <w:rFonts w:ascii="Agfa Rotis Sans Serif" w:hAnsi="Agfa Rotis Sans Serif"/>
    </w:rPr>
  </w:style>
  <w:style w:type="paragraph" w:styleId="Ballontekst">
    <w:name w:val="Balloon Text"/>
    <w:basedOn w:val="Standaard"/>
    <w:link w:val="BallontekstChar"/>
    <w:rsid w:val="00B739B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73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DF70-69BD-4784-AA60-BE469C99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760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Jessica Baars</cp:lastModifiedBy>
  <cp:revision>6</cp:revision>
  <dcterms:created xsi:type="dcterms:W3CDTF">2011-11-23T12:20:00Z</dcterms:created>
  <dcterms:modified xsi:type="dcterms:W3CDTF">2014-03-06T08:57:00Z</dcterms:modified>
  <cp:category/>
</cp:coreProperties>
</file>