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65" w:rsidRPr="001E4C56" w:rsidRDefault="00E84C65" w:rsidP="00E84C65">
      <w:pPr>
        <w:widowControl w:val="0"/>
        <w:overflowPunct w:val="0"/>
        <w:rPr>
          <w:b/>
          <w:i/>
          <w:u w:val="single"/>
        </w:rPr>
      </w:pPr>
      <w:r>
        <w:rPr>
          <w:b/>
          <w:i/>
          <w:u w:val="single"/>
        </w:rPr>
        <w:t>Joint-ventures, do’s en don</w:t>
      </w:r>
      <w:r w:rsidRPr="001E4C56">
        <w:rPr>
          <w:b/>
          <w:i/>
          <w:u w:val="single"/>
        </w:rPr>
        <w:t>t</w:t>
      </w:r>
      <w:r>
        <w:rPr>
          <w:b/>
          <w:i/>
          <w:u w:val="single"/>
        </w:rPr>
        <w:t>’</w:t>
      </w:r>
      <w:r w:rsidRPr="001E4C56">
        <w:rPr>
          <w:b/>
          <w:i/>
          <w:u w:val="single"/>
        </w:rPr>
        <w:t>s in een samenwerkingsverband</w:t>
      </w:r>
    </w:p>
    <w:p w:rsidR="00E84C65" w:rsidRPr="001E4C56" w:rsidRDefault="00E84C65" w:rsidP="00E84C65">
      <w:pPr>
        <w:widowControl w:val="0"/>
        <w:overflowPunct w:val="0"/>
      </w:pPr>
    </w:p>
    <w:p w:rsidR="00E84C65" w:rsidRPr="001E4C56" w:rsidRDefault="00E84C65" w:rsidP="00E84C65">
      <w:pPr>
        <w:widowControl w:val="0"/>
        <w:overflowPunct w:val="0"/>
      </w:pPr>
    </w:p>
    <w:p w:rsidR="0005756F" w:rsidRDefault="00E84C65" w:rsidP="0005756F">
      <w:pPr>
        <w:widowControl w:val="0"/>
        <w:overflowPunct w:val="0"/>
      </w:pPr>
      <w:r w:rsidRPr="001E4C56">
        <w:t xml:space="preserve">In de </w:t>
      </w:r>
      <w:r w:rsidR="0005756F">
        <w:t>vorig</w:t>
      </w:r>
      <w:r w:rsidRPr="001E4C56">
        <w:t xml:space="preserve">e bijdrage </w:t>
      </w:r>
      <w:r w:rsidR="0005756F">
        <w:t xml:space="preserve">is o.a. stilgestaan bij de kapitalisatie van de Joint-Venture-vennootschap, waarbij de volgende soorten aandelen qua gebruiksmogelijkheden zich aandienen: </w:t>
      </w:r>
    </w:p>
    <w:p w:rsidR="0005756F" w:rsidRDefault="0005756F" w:rsidP="0005756F">
      <w:pPr>
        <w:widowControl w:val="0"/>
        <w:overflowPunct w:val="0"/>
      </w:pPr>
      <w:r>
        <w:t>a) P</w:t>
      </w:r>
      <w:r w:rsidRPr="00C115CD">
        <w:t xml:space="preserve">referente aandelen </w:t>
      </w:r>
      <w:r>
        <w:t xml:space="preserve">b) </w:t>
      </w:r>
      <w:r w:rsidRPr="00C115CD">
        <w:t xml:space="preserve">Letter aandelen </w:t>
      </w:r>
      <w:r>
        <w:t xml:space="preserve">c) </w:t>
      </w:r>
      <w:r w:rsidRPr="00C115CD">
        <w:t>Prioriteitsaandelen</w:t>
      </w:r>
      <w:r>
        <w:t>.</w:t>
      </w:r>
      <w:r w:rsidRPr="00C115CD">
        <w:t xml:space="preserve"> </w:t>
      </w:r>
    </w:p>
    <w:p w:rsidR="0005756F" w:rsidRDefault="0005756F" w:rsidP="0005756F">
      <w:pPr>
        <w:widowControl w:val="0"/>
        <w:overflowPunct w:val="0"/>
      </w:pPr>
      <w:r>
        <w:t xml:space="preserve">In het kader van de wijze van kapitalisatie komt vervolgens ter sprake hoe de partners deelnemen in het aandelenkapitaal. </w:t>
      </w:r>
    </w:p>
    <w:p w:rsidR="0005756F" w:rsidRDefault="0005756F" w:rsidP="0005756F">
      <w:pPr>
        <w:widowControl w:val="0"/>
        <w:overflowPunct w:val="0"/>
      </w:pPr>
      <w:r>
        <w:t>Daar kan zich de situatie voordoen dat niet alle partners een gelijk aantal aandelen krijgen, maar dat er sprake is van een meerderheids en een minderheidsaandeelhouder.</w:t>
      </w:r>
    </w:p>
    <w:p w:rsidR="0005756F" w:rsidRDefault="0005756F" w:rsidP="0005756F">
      <w:pPr>
        <w:widowControl w:val="0"/>
        <w:overflowPunct w:val="0"/>
      </w:pPr>
      <w:r>
        <w:t>De vraag die zich voordoet is hoe juridisch om te gaan met de (juridische) belangen van deze minderheidsaandeelhouder.</w:t>
      </w:r>
    </w:p>
    <w:p w:rsidR="0005756F" w:rsidRDefault="0005756F" w:rsidP="0005756F">
      <w:pPr>
        <w:widowControl w:val="0"/>
        <w:overflowPunct w:val="0"/>
      </w:pPr>
      <w:r>
        <w:t>Punten van aandacht die bijvoorbeeld in de statuten dan wel de Joint-venture-overeenkomst geregeld kunnen worden zijn:</w:t>
      </w:r>
    </w:p>
    <w:p w:rsidR="00435710" w:rsidRPr="0005756F" w:rsidRDefault="00435710" w:rsidP="0005756F">
      <w:pPr>
        <w:widowControl w:val="0"/>
        <w:numPr>
          <w:ilvl w:val="0"/>
          <w:numId w:val="1"/>
        </w:numPr>
        <w:overflowPunct w:val="0"/>
      </w:pPr>
      <w:r w:rsidRPr="0005756F">
        <w:t>AvA besluit bij gekwalificeerde meerderheid (bijvoorbeeld 65%)</w:t>
      </w:r>
    </w:p>
    <w:p w:rsidR="00435710" w:rsidRPr="0005756F" w:rsidRDefault="00435710" w:rsidP="0005756F">
      <w:pPr>
        <w:widowControl w:val="0"/>
        <w:numPr>
          <w:ilvl w:val="0"/>
          <w:numId w:val="1"/>
        </w:numPr>
        <w:overflowPunct w:val="0"/>
      </w:pPr>
      <w:r w:rsidRPr="0005756F">
        <w:t xml:space="preserve">Belangrijke bestuursbesluiten behoeven voorafgaande goedkeuring AvA </w:t>
      </w:r>
    </w:p>
    <w:p w:rsidR="00435710" w:rsidRDefault="00435710" w:rsidP="0005756F">
      <w:pPr>
        <w:widowControl w:val="0"/>
        <w:numPr>
          <w:ilvl w:val="0"/>
          <w:numId w:val="1"/>
        </w:numPr>
        <w:overflowPunct w:val="0"/>
      </w:pPr>
      <w:r w:rsidRPr="0005756F">
        <w:t>Hele belangrijke AvA-besluiten (wijziging statuten, overdracht onderneming, fusie etc.) bij super gekwalificeerde meerderheid (bijvoorbeeld 80%)</w:t>
      </w:r>
    </w:p>
    <w:p w:rsidR="00435710" w:rsidRDefault="00435710" w:rsidP="0005756F">
      <w:pPr>
        <w:widowControl w:val="0"/>
        <w:overflowPunct w:val="0"/>
      </w:pPr>
    </w:p>
    <w:p w:rsidR="0005756F" w:rsidRDefault="00435710" w:rsidP="0005756F">
      <w:pPr>
        <w:widowControl w:val="0"/>
        <w:overflowPunct w:val="0"/>
      </w:pPr>
      <w:r>
        <w:t>Maar ook a</w:t>
      </w:r>
      <w:r w:rsidR="0005756F" w:rsidRPr="0005756F">
        <w:t xml:space="preserve">fspraken over dividendbeleid (bijvoorbeeld resultaat wordt uitgekeerd als na </w:t>
      </w:r>
      <w:r w:rsidR="00DC491B">
        <w:t>de dividend</w:t>
      </w:r>
      <w:r w:rsidR="0005756F" w:rsidRPr="0005756F">
        <w:t xml:space="preserve">uitkering </w:t>
      </w:r>
      <w:r w:rsidR="00DC491B">
        <w:t xml:space="preserve">de </w:t>
      </w:r>
      <w:r w:rsidR="0005756F" w:rsidRPr="0005756F">
        <w:t xml:space="preserve">solvabiliteit van </w:t>
      </w:r>
      <w:r w:rsidR="00DC491B">
        <w:t xml:space="preserve">bijv </w:t>
      </w:r>
      <w:r w:rsidR="0005756F" w:rsidRPr="0005756F">
        <w:t>30% gehandhaafd bli</w:t>
      </w:r>
      <w:r>
        <w:t>jft) en de benoeming, schorsing en ontslag van bestuur verdienen vanzelfsprekend aandacht.</w:t>
      </w:r>
    </w:p>
    <w:p w:rsidR="00DC491B" w:rsidRDefault="00DC491B" w:rsidP="0005756F">
      <w:pPr>
        <w:widowControl w:val="0"/>
        <w:overflowPunct w:val="0"/>
      </w:pPr>
    </w:p>
    <w:p w:rsidR="007D31F7" w:rsidRDefault="00DC491B" w:rsidP="007D31F7">
      <w:pPr>
        <w:widowControl w:val="0"/>
        <w:overflowPunct w:val="0"/>
      </w:pPr>
      <w:r>
        <w:t>Wat verder een aandachtspunt is zijn de afspraken die gemaakt worden over relatie- en concurrentiebedingen. Te denken valt aan afspraken over zaken als: a) de l</w:t>
      </w:r>
      <w:r w:rsidR="007D31F7" w:rsidRPr="00DC491B">
        <w:t>ooptijd</w:t>
      </w:r>
      <w:r>
        <w:t xml:space="preserve"> van het beding  b) het t</w:t>
      </w:r>
      <w:r w:rsidR="007D31F7" w:rsidRPr="00DC491B">
        <w:t>erritorium</w:t>
      </w:r>
      <w:r>
        <w:t>, gebied waarvoor het beding overeengekomen wordt c) de d</w:t>
      </w:r>
      <w:r w:rsidR="007D31F7" w:rsidRPr="00DC491B">
        <w:t>irect</w:t>
      </w:r>
      <w:r>
        <w:t>e</w:t>
      </w:r>
      <w:r w:rsidR="007D31F7" w:rsidRPr="00DC491B">
        <w:t xml:space="preserve"> èn indirecte betrokkenheid</w:t>
      </w:r>
      <w:r>
        <w:t xml:space="preserve"> van verbonden partijen/groepsvennootschappen d) de hoogte van de b</w:t>
      </w:r>
      <w:r w:rsidR="007D31F7" w:rsidRPr="00DC491B">
        <w:t>oete</w:t>
      </w:r>
      <w:r>
        <w:t xml:space="preserve"> indien het beding wordt geschonden</w:t>
      </w:r>
      <w:r w:rsidR="007D31F7">
        <w:t xml:space="preserve"> e) u</w:t>
      </w:r>
      <w:r w:rsidR="007D31F7" w:rsidRPr="00DC491B">
        <w:t>itgezonderde activiteiten</w:t>
      </w:r>
      <w:r w:rsidR="007D31F7">
        <w:t xml:space="preserve"> onder het beding </w:t>
      </w:r>
    </w:p>
    <w:p w:rsidR="007D31F7" w:rsidRPr="00DC491B" w:rsidRDefault="007D31F7" w:rsidP="007D31F7">
      <w:pPr>
        <w:widowControl w:val="0"/>
        <w:overflowPunct w:val="0"/>
      </w:pPr>
      <w:r>
        <w:t xml:space="preserve">f) hoe om te gaan met </w:t>
      </w:r>
      <w:r w:rsidRPr="00DC491B">
        <w:t>(ex) werknemers/</w:t>
      </w:r>
      <w:r>
        <w:t>cliënten (verbod van non-sollicitation).</w:t>
      </w:r>
    </w:p>
    <w:p w:rsidR="00DC491B" w:rsidRDefault="00DC491B" w:rsidP="0005756F">
      <w:pPr>
        <w:widowControl w:val="0"/>
        <w:overflowPunct w:val="0"/>
      </w:pPr>
    </w:p>
    <w:p w:rsidR="0005756F" w:rsidRDefault="007D31F7" w:rsidP="0005756F">
      <w:pPr>
        <w:widowControl w:val="0"/>
        <w:overflowPunct w:val="0"/>
      </w:pPr>
      <w:r>
        <w:t>Het komt in het kader van een samenwerkingsverband soms voor dat een derde-partij geïntereseerd is in de joint-venture activiteiten en de aandelen wenst te kopen.</w:t>
      </w:r>
    </w:p>
    <w:p w:rsidR="007D31F7" w:rsidRDefault="007D31F7" w:rsidP="0005756F">
      <w:pPr>
        <w:widowControl w:val="0"/>
        <w:overflowPunct w:val="0"/>
      </w:pPr>
      <w:r>
        <w:t>Ook hier is het dan een overweging waard om af te spreken hoe om te gaan met de interesse van derden.</w:t>
      </w:r>
    </w:p>
    <w:p w:rsidR="007D31F7" w:rsidRDefault="007D31F7" w:rsidP="0005756F">
      <w:pPr>
        <w:widowControl w:val="0"/>
        <w:overflowPunct w:val="0"/>
      </w:pPr>
      <w:r>
        <w:t>We kennen daarbij meerdere methoden om de partners binnen de boot te houden</w:t>
      </w:r>
    </w:p>
    <w:p w:rsidR="007D31F7" w:rsidRDefault="007D31F7" w:rsidP="007D31F7">
      <w:pPr>
        <w:widowControl w:val="0"/>
        <w:overflowPunct w:val="0"/>
        <w:rPr>
          <w:b/>
          <w:bCs/>
          <w:i/>
          <w:iCs/>
        </w:rPr>
      </w:pPr>
      <w:r w:rsidRPr="007D31F7">
        <w:rPr>
          <w:b/>
          <w:bCs/>
          <w:i/>
          <w:iCs/>
        </w:rPr>
        <w:t>Drag along</w:t>
      </w:r>
    </w:p>
    <w:p w:rsidR="007D31F7" w:rsidRPr="007D31F7" w:rsidRDefault="007D31F7" w:rsidP="007D31F7">
      <w:pPr>
        <w:widowControl w:val="0"/>
        <w:overflowPunct w:val="0"/>
      </w:pPr>
      <w:r>
        <w:t>De mee</w:t>
      </w:r>
      <w:r w:rsidRPr="007D31F7">
        <w:t xml:space="preserve">rderheidsaandeelhouder wil 100% van de aandelen aan een </w:t>
      </w:r>
      <w:r w:rsidRPr="007D31F7">
        <w:rPr>
          <w:i/>
          <w:iCs/>
        </w:rPr>
        <w:t>bonafide</w:t>
      </w:r>
      <w:r w:rsidRPr="007D31F7">
        <w:t xml:space="preserve"> derde overdragen en trekt minderheidsaandeelhouder mee, die zijn aandelen moet overdragen onder dezelfde voorwaarden</w:t>
      </w:r>
      <w:r>
        <w:t>. Daarbij kan overwogen worden om e</w:t>
      </w:r>
      <w:r w:rsidRPr="007D31F7">
        <w:t xml:space="preserve">ventueel </w:t>
      </w:r>
      <w:r>
        <w:t xml:space="preserve">een </w:t>
      </w:r>
      <w:r w:rsidRPr="007D31F7">
        <w:t xml:space="preserve">matchingsright </w:t>
      </w:r>
      <w:r>
        <w:t>a</w:t>
      </w:r>
      <w:r w:rsidRPr="007D31F7">
        <w:t>an</w:t>
      </w:r>
      <w:r>
        <w:t xml:space="preserve"> de</w:t>
      </w:r>
      <w:r w:rsidRPr="007D31F7">
        <w:t xml:space="preserve"> minderheidsaandeelhouder</w:t>
      </w:r>
      <w:r>
        <w:t xml:space="preserve"> te verstrekken, zodat de minderheidsaandeelhouder een voorrangspositie bekleedt t.o.v. de derde.</w:t>
      </w:r>
    </w:p>
    <w:p w:rsidR="007D31F7" w:rsidRDefault="007D31F7" w:rsidP="007D31F7">
      <w:pPr>
        <w:widowControl w:val="0"/>
        <w:overflowPunct w:val="0"/>
        <w:rPr>
          <w:b/>
          <w:bCs/>
          <w:i/>
          <w:iCs/>
        </w:rPr>
      </w:pPr>
      <w:r>
        <w:rPr>
          <w:b/>
          <w:bCs/>
          <w:i/>
          <w:iCs/>
        </w:rPr>
        <w:t>Tag along</w:t>
      </w:r>
    </w:p>
    <w:p w:rsidR="007D31F7" w:rsidRPr="007D31F7" w:rsidRDefault="007D31F7" w:rsidP="007D31F7">
      <w:pPr>
        <w:widowControl w:val="0"/>
        <w:overflowPunct w:val="0"/>
      </w:pPr>
      <w:r>
        <w:t>De mi</w:t>
      </w:r>
      <w:r w:rsidRPr="007D31F7">
        <w:t xml:space="preserve">nderheidsaandeelhouder verplicht </w:t>
      </w:r>
      <w:r>
        <w:t xml:space="preserve">de </w:t>
      </w:r>
      <w:r w:rsidRPr="007D31F7">
        <w:t xml:space="preserve">meerderheidsaandeelhouder </w:t>
      </w:r>
      <w:r>
        <w:t xml:space="preserve">om </w:t>
      </w:r>
      <w:r w:rsidRPr="007D31F7">
        <w:t>bij verkoop</w:t>
      </w:r>
      <w:r>
        <w:t xml:space="preserve"> van zijn </w:t>
      </w:r>
      <w:r w:rsidRPr="007D31F7">
        <w:t xml:space="preserve">aandelen </w:t>
      </w:r>
      <w:r w:rsidR="002C6FFD">
        <w:t xml:space="preserve">door de </w:t>
      </w:r>
      <w:r w:rsidRPr="007D31F7">
        <w:t>meerderheidsaandeelhouder aan een derde</w:t>
      </w:r>
      <w:r w:rsidR="002C6FFD">
        <w:t>,</w:t>
      </w:r>
      <w:r w:rsidRPr="007D31F7">
        <w:t xml:space="preserve"> de aandelen van de minderheidsaandeelhouder </w:t>
      </w:r>
      <w:r w:rsidR="002C6FFD">
        <w:t xml:space="preserve">eveneens </w:t>
      </w:r>
      <w:r w:rsidRPr="007D31F7">
        <w:t>mee over te dragen onder dezelfde voorwaarden</w:t>
      </w:r>
    </w:p>
    <w:p w:rsidR="0005756F" w:rsidRDefault="0005756F" w:rsidP="0005756F">
      <w:pPr>
        <w:widowControl w:val="0"/>
        <w:overflowPunct w:val="0"/>
      </w:pPr>
    </w:p>
    <w:p w:rsidR="005E3D26" w:rsidRDefault="002C6FFD" w:rsidP="00C93A74">
      <w:pPr>
        <w:widowControl w:val="0"/>
        <w:overflowPunct w:val="0"/>
      </w:pPr>
      <w:r>
        <w:t>Bij het beëindigen van de joint venture kunnen vooraf afspraken gemaakt worden over de prijsbepaling van de aandelen. We onderscheiden daarbij de “good leaver” en de “bad leaver”.</w:t>
      </w:r>
    </w:p>
    <w:p w:rsidR="002C6FFD" w:rsidRDefault="002C6FFD" w:rsidP="00C93A74">
      <w:pPr>
        <w:widowControl w:val="0"/>
        <w:overflowPunct w:val="0"/>
      </w:pPr>
    </w:p>
    <w:p w:rsidR="00F31C7F" w:rsidRDefault="00F31C7F" w:rsidP="00C93A74">
      <w:pPr>
        <w:widowControl w:val="0"/>
        <w:overflowPunct w:val="0"/>
      </w:pPr>
    </w:p>
    <w:p w:rsidR="000335BE" w:rsidRDefault="000335BE" w:rsidP="000335BE">
      <w:pPr>
        <w:widowControl w:val="0"/>
        <w:overflowPunct w:val="0"/>
      </w:pPr>
      <w:r>
        <w:t xml:space="preserve">De good leaver-regeling wordt gebruikt voor de prijsbepaling van aandelen ingeval van: </w:t>
      </w:r>
    </w:p>
    <w:p w:rsidR="00455D14" w:rsidRDefault="000335BE" w:rsidP="00455D14">
      <w:pPr>
        <w:widowControl w:val="0"/>
        <w:overflowPunct w:val="0"/>
      </w:pPr>
      <w:r>
        <w:t>a) o</w:t>
      </w:r>
      <w:r w:rsidR="001D5F16" w:rsidRPr="000335BE">
        <w:t>verlijden</w:t>
      </w:r>
      <w:r>
        <w:t xml:space="preserve"> b) </w:t>
      </w:r>
      <w:r w:rsidR="001D5F16" w:rsidRPr="000335BE">
        <w:t xml:space="preserve">volledige arbeidsongeschiktheid gedurende een aaneengesloten periode van </w:t>
      </w:r>
      <w:r>
        <w:t xml:space="preserve">bijv </w:t>
      </w:r>
      <w:r w:rsidR="001D5F16" w:rsidRPr="000335BE">
        <w:t>meer dan twaalf (12) maanden</w:t>
      </w:r>
      <w:r>
        <w:t xml:space="preserve"> c) indien de </w:t>
      </w:r>
      <w:r w:rsidR="001D5F16" w:rsidRPr="000335BE">
        <w:t>Vennootschap</w:t>
      </w:r>
      <w:r>
        <w:t xml:space="preserve"> de arbeidsovereenkomst</w:t>
      </w:r>
      <w:r w:rsidR="001D5F16" w:rsidRPr="000335BE">
        <w:t xml:space="preserve"> beëindigt</w:t>
      </w:r>
      <w:r w:rsidR="001D5F16" w:rsidRPr="000335BE">
        <w:t>, anders dan op grond van een “dringende reden” ex artikel 7:677 B</w:t>
      </w:r>
      <w:r>
        <w:t xml:space="preserve">W dan wel </w:t>
      </w:r>
      <w:r w:rsidR="001D5F16" w:rsidRPr="000335BE">
        <w:t xml:space="preserve"> de managementovereenkomst </w:t>
      </w:r>
      <w:r w:rsidRPr="000335BE">
        <w:t>beëindigt</w:t>
      </w:r>
      <w:r>
        <w:t>.</w:t>
      </w:r>
    </w:p>
    <w:p w:rsidR="00000000" w:rsidRPr="00455D14" w:rsidRDefault="00455D14" w:rsidP="00455D14">
      <w:pPr>
        <w:widowControl w:val="0"/>
        <w:overflowPunct w:val="0"/>
      </w:pPr>
      <w:r>
        <w:t>D</w:t>
      </w:r>
      <w:r w:rsidR="000743C3">
        <w:t xml:space="preserve">e bad leaver-regeling wordt gebruikt ingeval van: a) </w:t>
      </w:r>
      <w:r w:rsidR="001D5F16" w:rsidRPr="000743C3">
        <w:t>Faillissement, surséance van betaling of ontbinding</w:t>
      </w:r>
      <w:r w:rsidR="000743C3">
        <w:t xml:space="preserve"> b) </w:t>
      </w:r>
      <w:r w:rsidR="001D5F16" w:rsidRPr="000743C3">
        <w:t>executoriaal beslag op de door de Bad Leaver gehouden Aandelen</w:t>
      </w:r>
      <w:r w:rsidR="000743C3">
        <w:t xml:space="preserve"> c) </w:t>
      </w:r>
      <w:r w:rsidR="001D5F16" w:rsidRPr="000743C3">
        <w:t xml:space="preserve">ingeval de zeggenschap, direct of </w:t>
      </w:r>
      <w:r w:rsidR="001D5F16" w:rsidRPr="000743C3">
        <w:t>indirect, over de activiteiten van een aandeelhouder, door één of meer anderen wordt verkregen (‘</w:t>
      </w:r>
      <w:r w:rsidR="001D5F16" w:rsidRPr="000743C3">
        <w:rPr>
          <w:i/>
          <w:iCs/>
        </w:rPr>
        <w:t>change of control</w:t>
      </w:r>
      <w:r w:rsidR="001D5F16" w:rsidRPr="000743C3">
        <w:t>’)</w:t>
      </w:r>
      <w:r w:rsidR="000743C3">
        <w:t xml:space="preserve"> d) de </w:t>
      </w:r>
      <w:r w:rsidR="001D5F16" w:rsidRPr="000743C3">
        <w:t>Arbeidsovereenkomst wordt door de werknemer beëindigd</w:t>
      </w:r>
      <w:r w:rsidR="000743C3">
        <w:t xml:space="preserve"> of de m</w:t>
      </w:r>
      <w:r w:rsidR="000743C3" w:rsidRPr="000743C3">
        <w:t>anagementovereenkomst wordt door de manager/opdrachtnemer beëindigd</w:t>
      </w:r>
      <w:r>
        <w:t xml:space="preserve"> e) </w:t>
      </w:r>
      <w:r w:rsidR="001D5F16" w:rsidRPr="00455D14">
        <w:t>Schending van</w:t>
      </w:r>
      <w:r w:rsidR="001D5F16" w:rsidRPr="00455D14">
        <w:t xml:space="preserve"> een bepaling van de joint venture overeenkomst (non-compete, geheimhouding e.d.)</w:t>
      </w:r>
      <w:r>
        <w:t>.</w:t>
      </w:r>
    </w:p>
    <w:p w:rsidR="000335BE" w:rsidRDefault="000335BE" w:rsidP="000743C3">
      <w:pPr>
        <w:widowControl w:val="0"/>
        <w:overflowPunct w:val="0"/>
      </w:pPr>
    </w:p>
    <w:p w:rsidR="000335BE" w:rsidRDefault="000335BE" w:rsidP="00C93A74">
      <w:pPr>
        <w:widowControl w:val="0"/>
        <w:overflowPunct w:val="0"/>
      </w:pPr>
    </w:p>
    <w:p w:rsidR="000335BE" w:rsidRDefault="000335BE" w:rsidP="00C93A74">
      <w:pPr>
        <w:widowControl w:val="0"/>
        <w:overflowPunct w:val="0"/>
      </w:pPr>
    </w:p>
    <w:p w:rsidR="000335BE" w:rsidRDefault="000335BE" w:rsidP="00C93A74">
      <w:pPr>
        <w:widowControl w:val="0"/>
        <w:overflowPunct w:val="0"/>
      </w:pPr>
    </w:p>
    <w:p w:rsidR="00C93A74" w:rsidRPr="001E4C56" w:rsidRDefault="00C93A74" w:rsidP="00C93A74">
      <w:pPr>
        <w:widowControl w:val="0"/>
        <w:overflowPunct w:val="0"/>
      </w:pPr>
      <w:r>
        <w:t>Mr Drs W.J.M. Strijk Fb</w:t>
      </w:r>
    </w:p>
    <w:p w:rsidR="001D5F16" w:rsidRDefault="001D5F16" w:rsidP="001D5F16">
      <w:pPr>
        <w:widowControl w:val="0"/>
        <w:overflowPunct w:val="0"/>
      </w:pPr>
      <w:r>
        <w:t>Kammeraad &amp; Strijk Notarissen</w:t>
      </w:r>
    </w:p>
    <w:p w:rsidR="00C93A74" w:rsidRDefault="00C93A74"/>
    <w:sectPr w:rsidR="00C93A74" w:rsidSect="0035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F0"/>
    <w:multiLevelType w:val="hybridMultilevel"/>
    <w:tmpl w:val="6E7026AC"/>
    <w:lvl w:ilvl="0" w:tplc="E90AA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34C">
      <w:start w:val="10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4C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A7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C1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4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6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CA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0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0C2FB5"/>
    <w:multiLevelType w:val="hybridMultilevel"/>
    <w:tmpl w:val="BB84395A"/>
    <w:lvl w:ilvl="0" w:tplc="B8DA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EE4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05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40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2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EB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E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E8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B96ABD"/>
    <w:multiLevelType w:val="hybridMultilevel"/>
    <w:tmpl w:val="64E6516E"/>
    <w:lvl w:ilvl="0" w:tplc="83CE1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00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A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08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C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9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67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25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BE3A5D"/>
    <w:multiLevelType w:val="hybridMultilevel"/>
    <w:tmpl w:val="8D128336"/>
    <w:lvl w:ilvl="0" w:tplc="0E5EA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6F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E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4B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EE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E5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4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80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6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1271EF"/>
    <w:multiLevelType w:val="hybridMultilevel"/>
    <w:tmpl w:val="59F6B63E"/>
    <w:lvl w:ilvl="0" w:tplc="F9A86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8DA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C3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2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C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8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8D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8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03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BC2A09"/>
    <w:multiLevelType w:val="hybridMultilevel"/>
    <w:tmpl w:val="CBF40088"/>
    <w:lvl w:ilvl="0" w:tplc="DA0A4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67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E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2E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2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26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8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84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0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F1B2544"/>
    <w:multiLevelType w:val="hybridMultilevel"/>
    <w:tmpl w:val="A5CC17B0"/>
    <w:lvl w:ilvl="0" w:tplc="2FF4F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0C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2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63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A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63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28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0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E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4C65"/>
    <w:rsid w:val="000335BE"/>
    <w:rsid w:val="0005378A"/>
    <w:rsid w:val="0005756F"/>
    <w:rsid w:val="000743C3"/>
    <w:rsid w:val="001D5F16"/>
    <w:rsid w:val="001F54F1"/>
    <w:rsid w:val="0027504E"/>
    <w:rsid w:val="002C6FFD"/>
    <w:rsid w:val="00343BD7"/>
    <w:rsid w:val="003548CB"/>
    <w:rsid w:val="00435710"/>
    <w:rsid w:val="00455D14"/>
    <w:rsid w:val="00565C4B"/>
    <w:rsid w:val="005E3D26"/>
    <w:rsid w:val="007D31F7"/>
    <w:rsid w:val="009947DE"/>
    <w:rsid w:val="00C93A74"/>
    <w:rsid w:val="00D23515"/>
    <w:rsid w:val="00DC491B"/>
    <w:rsid w:val="00E84C65"/>
    <w:rsid w:val="00E934B2"/>
    <w:rsid w:val="00F3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4C65"/>
    <w:pPr>
      <w:spacing w:after="0" w:line="280" w:lineRule="exact"/>
    </w:pPr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5D14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4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03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2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88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20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7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standaard</dc:creator>
  <cp:keywords/>
  <dc:description/>
  <cp:lastModifiedBy>standaard</cp:lastModifiedBy>
  <cp:revision>10</cp:revision>
  <dcterms:created xsi:type="dcterms:W3CDTF">2011-05-25T08:15:00Z</dcterms:created>
  <dcterms:modified xsi:type="dcterms:W3CDTF">2011-05-25T14:15:00Z</dcterms:modified>
</cp:coreProperties>
</file>